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报名提供的材料</w:t>
      </w:r>
    </w:p>
    <w:p>
      <w:pPr>
        <w:rPr>
          <w:rFonts w:ascii="宋体" w:hAnsi="宋体" w:cs="宋体"/>
          <w:b/>
          <w:bCs/>
          <w:sz w:val="30"/>
          <w:szCs w:val="30"/>
        </w:rPr>
      </w:pPr>
      <w:r>
        <w:rPr>
          <w:rFonts w:hint="eastAsia" w:ascii="宋体" w:hAnsi="宋体" w:cs="宋体"/>
          <w:b/>
          <w:bCs/>
          <w:sz w:val="30"/>
          <w:szCs w:val="30"/>
        </w:rPr>
        <w:t xml:space="preserve">    一</w:t>
      </w:r>
      <w:r>
        <w:rPr>
          <w:rFonts w:ascii="宋体" w:hAnsi="宋体" w:cs="宋体"/>
          <w:b/>
          <w:bCs/>
          <w:sz w:val="30"/>
          <w:szCs w:val="30"/>
        </w:rPr>
        <w:t>、</w:t>
      </w:r>
      <w:r>
        <w:rPr>
          <w:rFonts w:hint="eastAsia" w:ascii="宋体" w:hAnsi="宋体" w:cs="宋体"/>
          <w:b/>
          <w:bCs/>
          <w:sz w:val="30"/>
          <w:szCs w:val="30"/>
        </w:rPr>
        <w:t>竞买人应具备的资格条件</w:t>
      </w:r>
    </w:p>
    <w:p>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_GB2312" w:hAnsi="Times New Roman" w:eastAsia="仿宋_GB2312" w:cs="Times New Roman"/>
          <w:color w:val="FF0000"/>
          <w:sz w:val="30"/>
          <w:szCs w:val="30"/>
          <w:lang w:eastAsia="zh-CN"/>
        </w:rPr>
      </w:pPr>
      <w:r>
        <w:rPr>
          <w:rFonts w:hint="eastAsia" w:ascii="仿宋_GB2312" w:hAnsi="Times New Roman" w:eastAsia="仿宋_GB2312" w:cs="Times New Roman"/>
          <w:color w:val="FF0000"/>
          <w:sz w:val="30"/>
          <w:szCs w:val="30"/>
          <w:lang w:val="en-US" w:eastAsia="zh-CN"/>
        </w:rPr>
        <w:t>1.</w:t>
      </w:r>
      <w:r>
        <w:rPr>
          <w:rFonts w:hint="eastAsia" w:ascii="仿宋_GB2312" w:hAnsi="Times New Roman" w:eastAsia="仿宋_GB2312" w:cs="Times New Roman"/>
          <w:color w:val="FF0000"/>
          <w:sz w:val="30"/>
          <w:szCs w:val="30"/>
        </w:rPr>
        <w:t>具备成品油零售许可资质，</w:t>
      </w:r>
      <w:r>
        <w:rPr>
          <w:rFonts w:hint="eastAsia" w:ascii="仿宋_GB2312" w:hAnsi="Times New Roman" w:eastAsia="仿宋_GB2312" w:cs="Times New Roman"/>
          <w:color w:val="FF0000"/>
          <w:sz w:val="30"/>
          <w:szCs w:val="30"/>
          <w:lang w:eastAsia="zh-CN"/>
        </w:rPr>
        <w:t>以及</w:t>
      </w:r>
      <w:r>
        <w:rPr>
          <w:rFonts w:hint="eastAsia" w:ascii="仿宋_GB2312" w:hAnsi="Times New Roman" w:eastAsia="仿宋_GB2312" w:cs="Times New Roman"/>
          <w:color w:val="FF0000"/>
          <w:sz w:val="30"/>
          <w:szCs w:val="30"/>
        </w:rPr>
        <w:t>《成品油零售批准证书》</w:t>
      </w:r>
      <w:r>
        <w:rPr>
          <w:rFonts w:hint="eastAsia" w:ascii="仿宋_GB2312" w:hAnsi="Times New Roman" w:eastAsia="仿宋_GB2312" w:cs="Times New Roman"/>
          <w:color w:val="FF0000"/>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_GB2312" w:hAnsi="Times New Roman" w:eastAsia="仿宋_GB2312" w:cs="Times New Roman"/>
          <w:color w:val="FF0000"/>
          <w:sz w:val="30"/>
          <w:szCs w:val="30"/>
          <w:lang w:val="en-US" w:eastAsia="zh-CN"/>
        </w:rPr>
      </w:pPr>
      <w:r>
        <w:rPr>
          <w:rFonts w:hint="eastAsia" w:ascii="仿宋_GB2312" w:hAnsi="Times New Roman" w:eastAsia="仿宋_GB2312" w:cs="Times New Roman"/>
          <w:color w:val="FF0000"/>
          <w:sz w:val="30"/>
          <w:szCs w:val="30"/>
          <w:lang w:val="en-US" w:eastAsia="zh-CN"/>
        </w:rPr>
        <w:t>2.</w:t>
      </w:r>
      <w:r>
        <w:rPr>
          <w:rFonts w:hint="eastAsia" w:ascii="仿宋_GB2312" w:hAnsi="Times New Roman" w:eastAsia="仿宋_GB2312" w:cs="Times New Roman"/>
          <w:color w:val="FF0000"/>
          <w:sz w:val="30"/>
          <w:szCs w:val="30"/>
        </w:rPr>
        <w:t>具备危险化学品经营许可证</w:t>
      </w:r>
      <w:r>
        <w:rPr>
          <w:rFonts w:hint="eastAsia" w:ascii="仿宋_GB2312" w:hAnsi="Times New Roman" w:eastAsia="仿宋_GB2312" w:cs="Times New Roman"/>
          <w:color w:val="FF0000"/>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_GB2312" w:hAnsi="Times New Roman" w:eastAsia="仿宋_GB2312" w:cs="Times New Roman"/>
          <w:color w:val="FF0000"/>
          <w:sz w:val="30"/>
          <w:szCs w:val="30"/>
          <w:lang w:val="en-US" w:eastAsia="zh-CN"/>
        </w:rPr>
      </w:pPr>
      <w:r>
        <w:rPr>
          <w:rFonts w:hint="eastAsia" w:ascii="仿宋_GB2312" w:hAnsi="Times New Roman" w:eastAsia="仿宋_GB2312" w:cs="Times New Roman"/>
          <w:color w:val="FF0000"/>
          <w:sz w:val="30"/>
          <w:szCs w:val="30"/>
          <w:lang w:val="en-US" w:eastAsia="zh-CN"/>
        </w:rPr>
        <w:t>3.</w:t>
      </w:r>
      <w:r>
        <w:rPr>
          <w:rFonts w:hint="eastAsia" w:ascii="仿宋_GB2312" w:hAnsi="Times New Roman" w:eastAsia="仿宋_GB2312" w:cs="Times New Roman"/>
          <w:color w:val="FF0000"/>
          <w:sz w:val="30"/>
          <w:szCs w:val="30"/>
        </w:rPr>
        <w:t>不接受联合体投标</w:t>
      </w:r>
      <w:r>
        <w:rPr>
          <w:rFonts w:hint="eastAsia" w:ascii="仿宋_GB2312" w:hAnsi="Times New Roman" w:eastAsia="仿宋_GB2312" w:cs="Times New Roman"/>
          <w:color w:val="FF0000"/>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_GB2312" w:hAnsi="Times New Roman" w:eastAsia="仿宋_GB2312" w:cs="Times New Roman"/>
          <w:color w:val="FF0000"/>
          <w:sz w:val="30"/>
          <w:szCs w:val="30"/>
          <w:lang w:eastAsia="zh-CN"/>
        </w:rPr>
      </w:pPr>
      <w:r>
        <w:rPr>
          <w:rFonts w:hint="eastAsia" w:ascii="仿宋_GB2312" w:hAnsi="Times New Roman" w:eastAsia="仿宋_GB2312" w:cs="Times New Roman"/>
          <w:color w:val="FF0000"/>
          <w:sz w:val="30"/>
          <w:szCs w:val="30"/>
          <w:lang w:val="en-US" w:eastAsia="zh-CN"/>
        </w:rPr>
        <w:t>4.</w:t>
      </w:r>
      <w:r>
        <w:rPr>
          <w:rFonts w:hint="eastAsia" w:ascii="仿宋_GB2312" w:hAnsi="Times New Roman" w:eastAsia="仿宋_GB2312" w:cs="Times New Roman"/>
          <w:color w:val="FF0000"/>
          <w:sz w:val="30"/>
          <w:szCs w:val="30"/>
          <w:lang w:eastAsia="zh-CN"/>
        </w:rPr>
        <w:t>企业</w:t>
      </w:r>
      <w:r>
        <w:rPr>
          <w:rFonts w:hint="eastAsia" w:ascii="仿宋_GB2312" w:hAnsi="Times New Roman" w:eastAsia="仿宋_GB2312" w:cs="Times New Roman"/>
          <w:color w:val="FF0000"/>
          <w:sz w:val="30"/>
          <w:szCs w:val="30"/>
        </w:rPr>
        <w:t>注册资本金不小于</w:t>
      </w:r>
      <w:bookmarkStart w:id="0" w:name="_GoBack"/>
      <w:bookmarkEnd w:id="0"/>
      <w:r>
        <w:rPr>
          <w:rFonts w:hint="eastAsia" w:ascii="仿宋_GB2312" w:hAnsi="Times New Roman" w:eastAsia="仿宋_GB2312" w:cs="Times New Roman"/>
          <w:color w:val="FF0000"/>
          <w:sz w:val="30"/>
          <w:szCs w:val="30"/>
        </w:rPr>
        <w:t>人民币1500万元</w:t>
      </w:r>
      <w:r>
        <w:rPr>
          <w:rFonts w:hint="eastAsia" w:ascii="仿宋_GB2312" w:hAnsi="Times New Roman" w:eastAsia="仿宋_GB2312" w:cs="Times New Roman"/>
          <w:color w:val="FF0000"/>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_GB2312" w:hAnsi="Times New Roman" w:eastAsia="仿宋_GB2312" w:cs="Times New Roman"/>
          <w:color w:val="FF0000"/>
          <w:sz w:val="30"/>
          <w:szCs w:val="30"/>
          <w:lang w:val="en-US" w:eastAsia="zh-CN"/>
        </w:rPr>
      </w:pPr>
      <w:r>
        <w:rPr>
          <w:rFonts w:hint="eastAsia" w:ascii="仿宋_GB2312" w:hAnsi="Times New Roman" w:eastAsia="仿宋_GB2312" w:cs="Times New Roman"/>
          <w:color w:val="FF0000"/>
          <w:sz w:val="30"/>
          <w:szCs w:val="30"/>
          <w:lang w:val="en-US" w:eastAsia="zh-CN"/>
        </w:rPr>
        <w:t>5.</w:t>
      </w:r>
      <w:r>
        <w:rPr>
          <w:rFonts w:hint="eastAsia" w:ascii="仿宋_GB2312" w:hAnsi="Times New Roman" w:eastAsia="仿宋_GB2312" w:cs="Times New Roman"/>
          <w:color w:val="FF0000"/>
          <w:sz w:val="30"/>
          <w:szCs w:val="30"/>
        </w:rPr>
        <w:t>投标人需具备良好的财务状况，需提供2022年度经过第三方审计机构出具的财务审计报告或者经审计的财务报表</w:t>
      </w:r>
      <w:r>
        <w:rPr>
          <w:rFonts w:hint="eastAsia" w:ascii="仿宋_GB2312" w:hAnsi="Times New Roman" w:eastAsia="仿宋_GB2312" w:cs="Times New Roman"/>
          <w:color w:val="FF0000"/>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ascii="仿宋_GB2312" w:eastAsia="仿宋_GB2312"/>
          <w:sz w:val="30"/>
          <w:szCs w:val="30"/>
        </w:rPr>
      </w:pPr>
      <w:r>
        <w:rPr>
          <w:rFonts w:hint="eastAsia" w:ascii="仿宋_GB2312" w:hAnsi="Times New Roman" w:eastAsia="仿宋_GB2312" w:cs="Times New Roman"/>
          <w:color w:val="FF0000"/>
          <w:sz w:val="30"/>
          <w:szCs w:val="30"/>
          <w:lang w:val="en-US" w:eastAsia="zh-CN"/>
        </w:rPr>
        <w:t>6.</w:t>
      </w:r>
      <w:r>
        <w:rPr>
          <w:rFonts w:hint="eastAsia" w:ascii="仿宋_GB2312" w:hAnsi="Times New Roman" w:eastAsia="仿宋_GB2312" w:cs="Times New Roman"/>
          <w:color w:val="FF0000"/>
          <w:sz w:val="30"/>
          <w:szCs w:val="30"/>
        </w:rPr>
        <w:t>企业未被列入全国法院失信被执行人名单证明</w:t>
      </w:r>
      <w:r>
        <w:rPr>
          <w:rFonts w:hint="eastAsia" w:ascii="仿宋_GB2312" w:hAnsi="Times New Roman" w:eastAsia="仿宋_GB2312" w:cs="Times New Roman"/>
          <w:color w:val="FF0000"/>
          <w:sz w:val="30"/>
          <w:szCs w:val="30"/>
          <w:lang w:eastAsia="zh-CN"/>
        </w:rPr>
        <w:t>。</w:t>
      </w:r>
    </w:p>
    <w:p>
      <w:pPr>
        <w:rPr>
          <w:rFonts w:ascii="宋体" w:hAnsi="宋体" w:cs="宋体"/>
          <w:b/>
          <w:bCs/>
          <w:sz w:val="30"/>
          <w:szCs w:val="30"/>
        </w:rPr>
      </w:pPr>
      <w:r>
        <w:rPr>
          <w:rFonts w:hint="eastAsia" w:ascii="仿宋_GB2312" w:hAnsi="仿宋_GB2312" w:eastAsia="仿宋_GB2312" w:cs="仿宋_GB2312"/>
          <w:kern w:val="0"/>
          <w:sz w:val="30"/>
          <w:szCs w:val="30"/>
        </w:rPr>
        <w:t xml:space="preserve">   </w:t>
      </w:r>
      <w:r>
        <w:rPr>
          <w:rFonts w:hint="eastAsia" w:ascii="宋体" w:hAnsi="宋体" w:cs="宋体"/>
          <w:b/>
          <w:bCs/>
          <w:sz w:val="30"/>
          <w:szCs w:val="30"/>
        </w:rPr>
        <w:t xml:space="preserve"> 二</w:t>
      </w:r>
      <w:r>
        <w:rPr>
          <w:rFonts w:ascii="宋体" w:hAnsi="宋体" w:cs="宋体"/>
          <w:b/>
          <w:bCs/>
          <w:sz w:val="30"/>
          <w:szCs w:val="30"/>
        </w:rPr>
        <w:t>、应提交的材料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2.1统一</w:t>
      </w:r>
      <w:r>
        <w:rPr>
          <w:rFonts w:ascii="仿宋_GB2312" w:hAnsi="仿宋_GB2312" w:eastAsia="仿宋_GB2312" w:cs="仿宋_GB2312"/>
          <w:kern w:val="0"/>
          <w:sz w:val="30"/>
          <w:szCs w:val="30"/>
        </w:rPr>
        <w:t>社会信用代码证</w:t>
      </w:r>
      <w:r>
        <w:rPr>
          <w:rFonts w:hint="eastAsia" w:ascii="仿宋_GB2312" w:hAnsi="仿宋_GB2312" w:eastAsia="仿宋_GB2312" w:cs="仿宋_GB2312"/>
          <w:kern w:val="0"/>
          <w:sz w:val="30"/>
          <w:szCs w:val="30"/>
        </w:rPr>
        <w:t>（原件校验+复印件）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val="en-US" w:eastAsia="zh-CN"/>
        </w:rPr>
        <w:t>2.2</w:t>
      </w:r>
      <w:r>
        <w:rPr>
          <w:rFonts w:hint="eastAsia" w:ascii="仿宋_GB2312" w:hAnsi="仿宋_GB2312" w:eastAsia="仿宋_GB2312" w:cs="仿宋_GB2312"/>
          <w:kern w:val="0"/>
          <w:sz w:val="30"/>
          <w:szCs w:val="30"/>
        </w:rPr>
        <w:t>成品油零售许可资质，</w:t>
      </w:r>
      <w:r>
        <w:rPr>
          <w:rFonts w:hint="eastAsia" w:ascii="仿宋_GB2312" w:hAnsi="仿宋_GB2312" w:eastAsia="仿宋_GB2312" w:cs="仿宋_GB2312"/>
          <w:kern w:val="0"/>
          <w:sz w:val="30"/>
          <w:szCs w:val="30"/>
          <w:lang w:eastAsia="zh-CN"/>
        </w:rPr>
        <w:t>以及</w:t>
      </w:r>
      <w:r>
        <w:rPr>
          <w:rFonts w:hint="eastAsia" w:ascii="仿宋_GB2312" w:hAnsi="仿宋_GB2312" w:eastAsia="仿宋_GB2312" w:cs="仿宋_GB2312"/>
          <w:kern w:val="0"/>
          <w:sz w:val="30"/>
          <w:szCs w:val="30"/>
        </w:rPr>
        <w:t>《成品油零售批准证书》</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2.3</w:t>
      </w:r>
      <w:r>
        <w:rPr>
          <w:rFonts w:hint="eastAsia" w:ascii="仿宋_GB2312" w:hAnsi="仿宋_GB2312" w:eastAsia="仿宋_GB2312" w:cs="仿宋_GB2312"/>
          <w:kern w:val="0"/>
          <w:sz w:val="30"/>
          <w:szCs w:val="30"/>
        </w:rPr>
        <w:t>危险化学品经营许可证</w:t>
      </w:r>
    </w:p>
    <w:p>
      <w:pPr>
        <w:pStyle w:val="2"/>
        <w:ind w:left="0" w:leftChars="0" w:firstLine="0" w:firstLineChars="0"/>
        <w:rPr>
          <w:rFonts w:hint="default" w:eastAsia="仿宋_GB2312"/>
          <w:lang w:val="en-US" w:eastAsia="zh-CN"/>
        </w:rPr>
      </w:pPr>
      <w:r>
        <w:rPr>
          <w:rFonts w:hint="eastAsia" w:ascii="仿宋_GB2312" w:hAnsi="仿宋_GB2312" w:eastAsia="仿宋_GB2312" w:cs="仿宋_GB2312"/>
          <w:kern w:val="0"/>
          <w:sz w:val="30"/>
          <w:szCs w:val="30"/>
          <w:lang w:val="en-US" w:eastAsia="zh-CN"/>
        </w:rPr>
        <w:t xml:space="preserve">    2.4提供2022年度经过第三方审计机构出具的财务审计报告或者经审计的财务报表</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5</w:t>
      </w:r>
      <w:r>
        <w:rPr>
          <w:rFonts w:hint="eastAsia" w:ascii="仿宋_GB2312" w:hAnsi="仿宋_GB2312" w:eastAsia="仿宋_GB2312" w:cs="仿宋_GB2312"/>
          <w:kern w:val="0"/>
          <w:sz w:val="30"/>
          <w:szCs w:val="30"/>
        </w:rPr>
        <w:t>企业未被列入全国法院失信被执行人名单证明（</w:t>
      </w:r>
      <w:r>
        <w:rPr>
          <w:rFonts w:ascii="仿宋_GB2312" w:hAnsi="仿宋_GB2312" w:eastAsia="仿宋_GB2312" w:cs="仿宋_GB2312"/>
          <w:kern w:val="0"/>
          <w:sz w:val="30"/>
          <w:szCs w:val="30"/>
        </w:rPr>
        <w:t>http://zxgk.court.gov.cn/</w:t>
      </w:r>
      <w:r>
        <w:rPr>
          <w:rFonts w:hint="eastAsia" w:ascii="仿宋_GB2312" w:hAnsi="仿宋_GB2312" w:eastAsia="仿宋_GB2312" w:cs="仿宋_GB2312"/>
          <w:kern w:val="0"/>
          <w:sz w:val="30"/>
          <w:szCs w:val="30"/>
        </w:rPr>
        <w:t>）</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6</w:t>
      </w:r>
      <w:r>
        <w:rPr>
          <w:rFonts w:hint="eastAsia" w:ascii="仿宋_GB2312" w:hAnsi="仿宋_GB2312" w:eastAsia="仿宋_GB2312" w:cs="仿宋_GB2312"/>
          <w:kern w:val="0"/>
          <w:sz w:val="30"/>
          <w:szCs w:val="30"/>
        </w:rPr>
        <w:t>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7</w:t>
      </w:r>
      <w:r>
        <w:rPr>
          <w:rFonts w:hint="eastAsia" w:ascii="仿宋_GB2312" w:hAnsi="仿宋_GB2312" w:eastAsia="仿宋_GB2312" w:cs="仿宋_GB2312"/>
          <w:kern w:val="0"/>
          <w:sz w:val="30"/>
          <w:szCs w:val="30"/>
        </w:rPr>
        <w:t>企业法人身份证（复印件）</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8</w:t>
      </w:r>
      <w:r>
        <w:rPr>
          <w:rFonts w:hint="eastAsia" w:ascii="仿宋_GB2312" w:hAnsi="仿宋_GB2312" w:eastAsia="仿宋_GB2312" w:cs="仿宋_GB2312"/>
          <w:kern w:val="0"/>
          <w:sz w:val="30"/>
          <w:szCs w:val="30"/>
        </w:rPr>
        <w:t>被委托人身份证（原件校验+复印件）</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9</w:t>
      </w:r>
      <w:r>
        <w:rPr>
          <w:rFonts w:ascii="仿宋_GB2312" w:hAnsi="仿宋_GB2312" w:eastAsia="仿宋_GB2312" w:cs="仿宋_GB2312"/>
          <w:kern w:val="0"/>
          <w:sz w:val="30"/>
          <w:szCs w:val="30"/>
        </w:rPr>
        <w:t>保证金交款凭证</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2.10</w:t>
      </w:r>
      <w:r>
        <w:rPr>
          <w:rFonts w:hint="eastAsia" w:ascii="仿宋_GB2312" w:hAnsi="仿宋_GB2312" w:eastAsia="仿宋_GB2312" w:cs="仿宋_GB2312"/>
          <w:kern w:val="0"/>
          <w:sz w:val="30"/>
          <w:szCs w:val="30"/>
        </w:rPr>
        <w:t>公司印章、</w:t>
      </w:r>
      <w:r>
        <w:rPr>
          <w:rFonts w:ascii="仿宋_GB2312" w:hAnsi="仿宋_GB2312" w:eastAsia="仿宋_GB2312" w:cs="仿宋_GB2312"/>
          <w:kern w:val="0"/>
          <w:sz w:val="30"/>
          <w:szCs w:val="30"/>
        </w:rPr>
        <w:t>法人私章</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3、开户名：南平市产权交易有限公司</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开户银行：厦门银行南平延平支行</w:t>
      </w:r>
    </w:p>
    <w:p>
      <w:pPr>
        <w:ind w:firstLine="600" w:firstLineChars="200"/>
        <w:rPr>
          <w:rFonts w:hint="eastAsia" w:ascii="仿宋_GB2312" w:eastAsia="仿宋_GB2312"/>
          <w:sz w:val="30"/>
          <w:szCs w:val="30"/>
        </w:rPr>
      </w:pPr>
      <w:r>
        <w:rPr>
          <w:rFonts w:hint="eastAsia" w:ascii="仿宋_GB2312" w:hAnsi="仿宋_GB2312" w:eastAsia="仿宋_GB2312" w:cs="仿宋_GB2312"/>
          <w:kern w:val="0"/>
          <w:sz w:val="30"/>
          <w:szCs w:val="30"/>
        </w:rPr>
        <w:t>银行帐号：8070 2716 0000 06</w:t>
      </w:r>
    </w:p>
    <w:p>
      <w:pPr>
        <w:ind w:firstLine="600" w:firstLineChars="200"/>
        <w:rPr>
          <w:rFonts w:hint="eastAsia" w:ascii="仿宋_GB2312" w:hAnsi="仿宋_GB2312" w:eastAsia="仿宋_GB2312" w:cs="仿宋_GB2312"/>
          <w:kern w:val="0"/>
          <w:sz w:val="30"/>
          <w:szCs w:val="30"/>
        </w:rPr>
      </w:pPr>
      <w:r>
        <w:rPr>
          <w:rFonts w:hint="eastAsia" w:ascii="仿宋_GB2312" w:eastAsia="仿宋_GB2312"/>
          <w:sz w:val="30"/>
          <w:szCs w:val="30"/>
        </w:rPr>
        <w:t>4、保证金：</w:t>
      </w:r>
    </w:p>
    <w:tbl>
      <w:tblPr>
        <w:tblStyle w:val="7"/>
        <w:tblW w:w="99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2689"/>
        <w:gridCol w:w="930"/>
        <w:gridCol w:w="1080"/>
        <w:gridCol w:w="870"/>
        <w:gridCol w:w="1260"/>
        <w:gridCol w:w="1081"/>
        <w:gridCol w:w="734"/>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479" w:type="dxa"/>
            <w:noWrap w:val="0"/>
            <w:vAlign w:val="center"/>
          </w:tcPr>
          <w:p>
            <w:pPr>
              <w:jc w:val="center"/>
              <w:rPr>
                <w:rFonts w:ascii="仿宋_GB2312" w:eastAsia="仿宋_GB2312"/>
                <w:sz w:val="24"/>
              </w:rPr>
            </w:pPr>
            <w:r>
              <w:rPr>
                <w:rFonts w:hint="eastAsia" w:ascii="仿宋_GB2312" w:eastAsia="仿宋_GB2312"/>
                <w:sz w:val="24"/>
              </w:rPr>
              <w:t>标的</w:t>
            </w:r>
          </w:p>
        </w:tc>
        <w:tc>
          <w:tcPr>
            <w:tcW w:w="2689" w:type="dxa"/>
            <w:noWrap w:val="0"/>
            <w:vAlign w:val="center"/>
          </w:tcPr>
          <w:p>
            <w:pPr>
              <w:jc w:val="center"/>
              <w:rPr>
                <w:rFonts w:ascii="仿宋_GB2312" w:eastAsia="仿宋_GB2312"/>
                <w:sz w:val="24"/>
              </w:rPr>
            </w:pPr>
            <w:r>
              <w:rPr>
                <w:rFonts w:hint="eastAsia" w:ascii="仿宋_GB2312" w:eastAsia="仿宋_GB2312"/>
                <w:sz w:val="24"/>
              </w:rPr>
              <w:t>标的及项目编号</w:t>
            </w:r>
          </w:p>
        </w:tc>
        <w:tc>
          <w:tcPr>
            <w:tcW w:w="930" w:type="dxa"/>
            <w:noWrap w:val="0"/>
            <w:vAlign w:val="center"/>
          </w:tcPr>
          <w:p>
            <w:pPr>
              <w:jc w:val="center"/>
              <w:rPr>
                <w:rFonts w:ascii="仿宋_GB2312" w:eastAsia="仿宋_GB2312"/>
                <w:sz w:val="24"/>
              </w:rPr>
            </w:pPr>
            <w:r>
              <w:rPr>
                <w:rFonts w:hint="eastAsia" w:ascii="仿宋_GB2312" w:eastAsia="仿宋_GB2312"/>
                <w:sz w:val="24"/>
              </w:rPr>
              <w:t>面积（</w:t>
            </w:r>
            <w:r>
              <w:rPr>
                <w:rFonts w:hint="eastAsia" w:ascii="Segoe UI Symbol" w:hAnsi="Segoe UI Symbol" w:eastAsia="仿宋_GB2312" w:cs="Segoe UI Symbol"/>
                <w:sz w:val="24"/>
              </w:rPr>
              <w:t>㎡</w:t>
            </w:r>
            <w:r>
              <w:rPr>
                <w:rFonts w:hint="eastAsia" w:ascii="仿宋_GB2312" w:hAnsi="仿宋_GB2312" w:eastAsia="仿宋_GB2312" w:cs="仿宋_GB2312"/>
                <w:sz w:val="24"/>
              </w:rPr>
              <w:t>）</w:t>
            </w:r>
          </w:p>
        </w:tc>
        <w:tc>
          <w:tcPr>
            <w:tcW w:w="1080" w:type="dxa"/>
            <w:noWrap w:val="0"/>
            <w:vAlign w:val="center"/>
          </w:tcPr>
          <w:p>
            <w:pPr>
              <w:jc w:val="center"/>
              <w:rPr>
                <w:rFonts w:ascii="仿宋_GB2312" w:eastAsia="仿宋_GB2312"/>
                <w:sz w:val="24"/>
              </w:rPr>
            </w:pPr>
            <w:r>
              <w:rPr>
                <w:rFonts w:hint="eastAsia" w:ascii="仿宋_GB2312" w:eastAsia="仿宋_GB2312"/>
                <w:sz w:val="24"/>
              </w:rPr>
              <w:t>年租金</w:t>
            </w:r>
          </w:p>
          <w:p>
            <w:pPr>
              <w:jc w:val="center"/>
              <w:rPr>
                <w:rFonts w:ascii="仿宋_GB2312" w:eastAsia="仿宋_GB2312"/>
                <w:sz w:val="24"/>
              </w:rPr>
            </w:pPr>
            <w:r>
              <w:rPr>
                <w:rFonts w:hint="eastAsia" w:ascii="仿宋_GB2312" w:eastAsia="仿宋_GB2312"/>
                <w:sz w:val="24"/>
              </w:rPr>
              <w:t>（元）</w:t>
            </w:r>
          </w:p>
        </w:tc>
        <w:tc>
          <w:tcPr>
            <w:tcW w:w="870" w:type="dxa"/>
            <w:noWrap w:val="0"/>
            <w:vAlign w:val="center"/>
          </w:tcPr>
          <w:p>
            <w:pPr>
              <w:jc w:val="center"/>
              <w:rPr>
                <w:rFonts w:ascii="仿宋_GB2312" w:eastAsia="仿宋_GB2312"/>
                <w:sz w:val="24"/>
              </w:rPr>
            </w:pPr>
            <w:r>
              <w:rPr>
                <w:rFonts w:hint="eastAsia" w:ascii="仿宋_GB2312" w:eastAsia="仿宋_GB2312"/>
                <w:sz w:val="24"/>
              </w:rPr>
              <w:t>租期</w:t>
            </w:r>
          </w:p>
          <w:p>
            <w:pPr>
              <w:jc w:val="center"/>
              <w:rPr>
                <w:rFonts w:ascii="仿宋_GB2312" w:eastAsia="仿宋_GB2312"/>
                <w:sz w:val="24"/>
              </w:rPr>
            </w:pPr>
            <w:r>
              <w:rPr>
                <w:rFonts w:hint="eastAsia" w:ascii="仿宋_GB2312" w:eastAsia="仿宋_GB2312"/>
                <w:sz w:val="24"/>
              </w:rPr>
              <w:t>（年）</w:t>
            </w:r>
          </w:p>
        </w:tc>
        <w:tc>
          <w:tcPr>
            <w:tcW w:w="1260" w:type="dxa"/>
            <w:noWrap w:val="0"/>
            <w:vAlign w:val="center"/>
          </w:tcPr>
          <w:p>
            <w:pPr>
              <w:jc w:val="center"/>
              <w:rPr>
                <w:rFonts w:ascii="仿宋_GB2312" w:eastAsia="仿宋_GB2312"/>
                <w:sz w:val="24"/>
              </w:rPr>
            </w:pPr>
            <w:r>
              <w:rPr>
                <w:rFonts w:hint="eastAsia" w:ascii="仿宋_GB2312" w:eastAsia="仿宋_GB2312"/>
                <w:sz w:val="24"/>
              </w:rPr>
              <w:t>租金</w:t>
            </w:r>
          </w:p>
          <w:p>
            <w:pPr>
              <w:jc w:val="center"/>
              <w:rPr>
                <w:rFonts w:ascii="仿宋_GB2312" w:eastAsia="仿宋_GB2312"/>
                <w:sz w:val="24"/>
              </w:rPr>
            </w:pPr>
            <w:r>
              <w:rPr>
                <w:rFonts w:hint="eastAsia" w:ascii="仿宋_GB2312" w:eastAsia="仿宋_GB2312"/>
                <w:sz w:val="24"/>
              </w:rPr>
              <w:t>总额</w:t>
            </w:r>
          </w:p>
          <w:p>
            <w:pPr>
              <w:jc w:val="center"/>
              <w:rPr>
                <w:rFonts w:ascii="仿宋_GB2312" w:eastAsia="仿宋_GB2312"/>
                <w:sz w:val="24"/>
              </w:rPr>
            </w:pPr>
            <w:r>
              <w:rPr>
                <w:rFonts w:hint="eastAsia" w:ascii="仿宋_GB2312" w:eastAsia="仿宋_GB2312"/>
                <w:sz w:val="24"/>
              </w:rPr>
              <w:t>（元）</w:t>
            </w:r>
          </w:p>
        </w:tc>
        <w:tc>
          <w:tcPr>
            <w:tcW w:w="1081" w:type="dxa"/>
            <w:noWrap w:val="0"/>
            <w:vAlign w:val="center"/>
          </w:tcPr>
          <w:p>
            <w:pPr>
              <w:jc w:val="center"/>
              <w:rPr>
                <w:rFonts w:ascii="仿宋_GB2312" w:eastAsia="仿宋_GB2312"/>
                <w:sz w:val="24"/>
              </w:rPr>
            </w:pPr>
            <w:r>
              <w:rPr>
                <w:rFonts w:hint="eastAsia" w:ascii="仿宋_GB2312" w:eastAsia="仿宋_GB2312"/>
                <w:sz w:val="24"/>
              </w:rPr>
              <w:t>保证金</w:t>
            </w:r>
          </w:p>
          <w:p>
            <w:pPr>
              <w:jc w:val="center"/>
              <w:rPr>
                <w:rFonts w:ascii="仿宋_GB2312" w:eastAsia="仿宋_GB2312"/>
                <w:sz w:val="24"/>
              </w:rPr>
            </w:pPr>
            <w:r>
              <w:rPr>
                <w:rFonts w:hint="eastAsia" w:ascii="仿宋_GB2312" w:eastAsia="仿宋_GB2312"/>
                <w:sz w:val="24"/>
              </w:rPr>
              <w:t>（元）</w:t>
            </w:r>
          </w:p>
        </w:tc>
        <w:tc>
          <w:tcPr>
            <w:tcW w:w="734" w:type="dxa"/>
            <w:noWrap w:val="0"/>
            <w:vAlign w:val="center"/>
          </w:tcPr>
          <w:p>
            <w:pPr>
              <w:jc w:val="center"/>
              <w:rPr>
                <w:rFonts w:ascii="仿宋_GB2312" w:eastAsia="仿宋_GB2312"/>
                <w:sz w:val="24"/>
              </w:rPr>
            </w:pPr>
            <w:r>
              <w:rPr>
                <w:rFonts w:hint="eastAsia" w:ascii="仿宋_GB2312" w:eastAsia="仿宋_GB2312"/>
                <w:sz w:val="24"/>
              </w:rPr>
              <w:t>竞价方式</w:t>
            </w:r>
          </w:p>
        </w:tc>
        <w:tc>
          <w:tcPr>
            <w:tcW w:w="804" w:type="dxa"/>
            <w:noWrap w:val="0"/>
            <w:vAlign w:val="center"/>
          </w:tcPr>
          <w:p>
            <w:pPr>
              <w:jc w:val="center"/>
              <w:rPr>
                <w:rFonts w:ascii="仿宋_GB2312" w:eastAsia="仿宋_GB2312"/>
                <w:sz w:val="24"/>
              </w:rPr>
            </w:pPr>
            <w:r>
              <w:rPr>
                <w:rFonts w:hint="eastAsia" w:ascii="仿宋_GB2312" w:eastAsia="仿宋_GB2312"/>
                <w:sz w:val="24"/>
              </w:rPr>
              <w:t>是否有原承租方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79" w:type="dxa"/>
            <w:vMerge w:val="restart"/>
            <w:noWrap w:val="0"/>
            <w:vAlign w:val="center"/>
          </w:tcPr>
          <w:p>
            <w:pPr>
              <w:spacing w:line="320" w:lineRule="exact"/>
              <w:jc w:val="center"/>
              <w:rPr>
                <w:sz w:val="18"/>
                <w:szCs w:val="18"/>
              </w:rPr>
            </w:pPr>
            <w:r>
              <w:rPr>
                <w:rFonts w:hint="eastAsia" w:ascii="仿宋_GB2312" w:hAnsi="Times New Roman" w:eastAsia="仿宋_GB2312"/>
                <w:b/>
                <w:sz w:val="24"/>
              </w:rPr>
              <w:t>标的一</w:t>
            </w:r>
          </w:p>
        </w:tc>
        <w:tc>
          <w:tcPr>
            <w:tcW w:w="2689" w:type="dxa"/>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sz w:val="24"/>
                <w:lang w:val="en-US" w:eastAsia="zh-CN"/>
              </w:rPr>
              <w:t>南平市建阳区回龙公路服务区加油站招租</w:t>
            </w:r>
          </w:p>
        </w:tc>
        <w:tc>
          <w:tcPr>
            <w:tcW w:w="930" w:type="dxa"/>
            <w:vMerge w:val="restart"/>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sz w:val="24"/>
                <w:lang w:val="en-US" w:eastAsia="zh-CN"/>
              </w:rPr>
              <w:t>占地11047</w:t>
            </w:r>
            <w:r>
              <w:rPr>
                <w:rFonts w:hint="eastAsia" w:ascii="Segoe UI Symbol" w:hAnsi="Segoe UI Symbol" w:eastAsia="仿宋_GB2312" w:cs="Segoe UI Symbol"/>
                <w:sz w:val="24"/>
              </w:rPr>
              <w:t>㎡</w:t>
            </w:r>
          </w:p>
        </w:tc>
        <w:tc>
          <w:tcPr>
            <w:tcW w:w="1080" w:type="dxa"/>
            <w:vMerge w:val="restart"/>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sz w:val="24"/>
                <w:lang w:val="en-US" w:eastAsia="zh-CN"/>
              </w:rPr>
              <w:t>2600000</w:t>
            </w:r>
          </w:p>
        </w:tc>
        <w:tc>
          <w:tcPr>
            <w:tcW w:w="870" w:type="dxa"/>
            <w:vMerge w:val="restart"/>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sz w:val="24"/>
                <w:lang w:val="en-US" w:eastAsia="zh-CN"/>
              </w:rPr>
              <w:t>5</w:t>
            </w:r>
          </w:p>
        </w:tc>
        <w:tc>
          <w:tcPr>
            <w:tcW w:w="1260" w:type="dxa"/>
            <w:vMerge w:val="restart"/>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sz w:val="24"/>
                <w:lang w:val="en-US" w:eastAsia="zh-CN"/>
              </w:rPr>
              <w:t>14082439</w:t>
            </w:r>
          </w:p>
        </w:tc>
        <w:tc>
          <w:tcPr>
            <w:tcW w:w="1081" w:type="dxa"/>
            <w:vMerge w:val="restart"/>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sz w:val="24"/>
                <w:lang w:val="en-US" w:eastAsia="zh-CN"/>
              </w:rPr>
              <w:t>2600000</w:t>
            </w:r>
          </w:p>
        </w:tc>
        <w:tc>
          <w:tcPr>
            <w:tcW w:w="734" w:type="dxa"/>
            <w:vMerge w:val="restart"/>
            <w:noWrap w:val="0"/>
            <w:vAlign w:val="center"/>
          </w:tcPr>
          <w:p>
            <w:pPr>
              <w:jc w:val="center"/>
              <w:rPr>
                <w:rFonts w:ascii="仿宋_GB2312" w:eastAsia="仿宋_GB2312"/>
                <w:sz w:val="24"/>
              </w:rPr>
            </w:pPr>
            <w:r>
              <w:rPr>
                <w:rFonts w:hint="eastAsia" w:ascii="仿宋_GB2312" w:eastAsia="仿宋_GB2312"/>
                <w:sz w:val="24"/>
              </w:rPr>
              <w:t>方式一：网络一次性报价</w:t>
            </w:r>
          </w:p>
        </w:tc>
        <w:tc>
          <w:tcPr>
            <w:tcW w:w="804" w:type="dxa"/>
            <w:vMerge w:val="restart"/>
            <w:noWrap w:val="0"/>
            <w:vAlign w:val="center"/>
          </w:tcPr>
          <w:p>
            <w:pPr>
              <w:jc w:val="center"/>
              <w:rPr>
                <w:rFonts w:ascii="仿宋_GB2312" w:eastAsia="仿宋_GB2312"/>
                <w:sz w:val="24"/>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479" w:type="dxa"/>
            <w:vMerge w:val="continue"/>
            <w:noWrap w:val="0"/>
            <w:vAlign w:val="center"/>
          </w:tcPr>
          <w:p>
            <w:pPr>
              <w:jc w:val="center"/>
            </w:pPr>
          </w:p>
        </w:tc>
        <w:tc>
          <w:tcPr>
            <w:tcW w:w="2689" w:type="dxa"/>
            <w:noWrap w:val="0"/>
            <w:vAlign w:val="center"/>
          </w:tcPr>
          <w:p>
            <w:pPr>
              <w:jc w:val="center"/>
              <w:rPr>
                <w:rFonts w:hint="default" w:ascii="仿宋_GB2312" w:eastAsia="仿宋_GB2312"/>
                <w:color w:val="000000"/>
                <w:sz w:val="24"/>
                <w:lang w:val="en-US"/>
              </w:rPr>
            </w:pPr>
            <w:r>
              <w:rPr>
                <w:rFonts w:hint="eastAsia" w:ascii="仿宋_GB2312" w:eastAsia="仿宋_GB2312"/>
                <w:color w:val="000000"/>
                <w:sz w:val="24"/>
                <w:lang w:eastAsia="zh-CN"/>
              </w:rPr>
              <w:t>NPCJ(Z)20231109-A194</w:t>
            </w:r>
          </w:p>
        </w:tc>
        <w:tc>
          <w:tcPr>
            <w:tcW w:w="930" w:type="dxa"/>
            <w:vMerge w:val="continue"/>
            <w:noWrap w:val="0"/>
            <w:vAlign w:val="center"/>
          </w:tcPr>
          <w:p>
            <w:pPr>
              <w:jc w:val="center"/>
              <w:rPr>
                <w:rFonts w:hint="eastAsia" w:ascii="仿宋_GB2312" w:eastAsia="仿宋_GB2312"/>
                <w:color w:val="000000"/>
                <w:sz w:val="24"/>
              </w:rPr>
            </w:pPr>
          </w:p>
        </w:tc>
        <w:tc>
          <w:tcPr>
            <w:tcW w:w="1080" w:type="dxa"/>
            <w:vMerge w:val="continue"/>
            <w:noWrap w:val="0"/>
            <w:vAlign w:val="center"/>
          </w:tcPr>
          <w:p>
            <w:pPr>
              <w:jc w:val="center"/>
              <w:rPr>
                <w:rFonts w:hint="eastAsia" w:ascii="仿宋_GB2312" w:eastAsia="仿宋_GB2312"/>
                <w:color w:val="000000"/>
                <w:sz w:val="24"/>
              </w:rPr>
            </w:pPr>
          </w:p>
        </w:tc>
        <w:tc>
          <w:tcPr>
            <w:tcW w:w="870" w:type="dxa"/>
            <w:vMerge w:val="continue"/>
            <w:noWrap w:val="0"/>
            <w:vAlign w:val="center"/>
          </w:tcPr>
          <w:p>
            <w:pPr>
              <w:jc w:val="center"/>
              <w:rPr>
                <w:rFonts w:hint="eastAsia" w:ascii="仿宋_GB2312" w:eastAsia="仿宋_GB2312"/>
                <w:color w:val="000000"/>
                <w:sz w:val="24"/>
              </w:rPr>
            </w:pPr>
          </w:p>
        </w:tc>
        <w:tc>
          <w:tcPr>
            <w:tcW w:w="1260" w:type="dxa"/>
            <w:vMerge w:val="continue"/>
            <w:noWrap w:val="0"/>
            <w:vAlign w:val="center"/>
          </w:tcPr>
          <w:p>
            <w:pPr>
              <w:jc w:val="center"/>
              <w:rPr>
                <w:rFonts w:hint="eastAsia" w:ascii="仿宋_GB2312" w:eastAsia="仿宋_GB2312"/>
                <w:color w:val="000000"/>
                <w:sz w:val="24"/>
              </w:rPr>
            </w:pPr>
          </w:p>
        </w:tc>
        <w:tc>
          <w:tcPr>
            <w:tcW w:w="1081" w:type="dxa"/>
            <w:vMerge w:val="continue"/>
            <w:noWrap w:val="0"/>
            <w:vAlign w:val="center"/>
          </w:tcPr>
          <w:p>
            <w:pPr>
              <w:jc w:val="center"/>
              <w:rPr>
                <w:rFonts w:hint="eastAsia" w:ascii="仿宋_GB2312" w:eastAsia="仿宋_GB2312"/>
                <w:color w:val="000000"/>
                <w:sz w:val="24"/>
              </w:rPr>
            </w:pPr>
          </w:p>
        </w:tc>
        <w:tc>
          <w:tcPr>
            <w:tcW w:w="734" w:type="dxa"/>
            <w:vMerge w:val="continue"/>
            <w:noWrap w:val="0"/>
            <w:vAlign w:val="center"/>
          </w:tcPr>
          <w:p>
            <w:pPr>
              <w:jc w:val="center"/>
              <w:rPr>
                <w:rFonts w:hint="eastAsia" w:ascii="仿宋_GB2312" w:eastAsia="仿宋_GB2312"/>
                <w:sz w:val="24"/>
              </w:rPr>
            </w:pPr>
          </w:p>
        </w:tc>
        <w:tc>
          <w:tcPr>
            <w:tcW w:w="804" w:type="dxa"/>
            <w:vMerge w:val="continue"/>
            <w:noWrap w:val="0"/>
            <w:vAlign w:val="center"/>
          </w:tcPr>
          <w:p>
            <w:pPr>
              <w:jc w:val="center"/>
              <w:rPr>
                <w:rFonts w:hint="eastAsia" w:ascii="仿宋_GB2312" w:eastAsia="仿宋_GB2312"/>
                <w:sz w:val="24"/>
              </w:rPr>
            </w:pPr>
          </w:p>
        </w:tc>
      </w:tr>
    </w:tbl>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eastAsia="仿宋_GB2312"/>
          <w:sz w:val="30"/>
          <w:szCs w:val="30"/>
        </w:rPr>
      </w:pPr>
      <w:r>
        <w:rPr>
          <w:rFonts w:hint="eastAsia" w:ascii="仿宋_GB2312" w:eastAsia="仿宋_GB2312"/>
          <w:sz w:val="30"/>
          <w:szCs w:val="30"/>
        </w:rPr>
        <w:t>5、时间:</w:t>
      </w:r>
      <w:r>
        <w:rPr>
          <w:rFonts w:hint="eastAsia"/>
        </w:rPr>
        <w:t xml:space="preserve"> </w:t>
      </w:r>
      <w:r>
        <w:rPr>
          <w:rFonts w:hint="eastAsia" w:ascii="仿宋_GB2312" w:hAnsi="宋体" w:eastAsia="仿宋_GB2312" w:cs="宋体"/>
          <w:color w:val="FF0000"/>
          <w:sz w:val="30"/>
          <w:szCs w:val="30"/>
        </w:rPr>
        <w:t>202</w:t>
      </w:r>
      <w:r>
        <w:rPr>
          <w:rFonts w:ascii="仿宋_GB2312" w:hAnsi="宋体" w:eastAsia="仿宋_GB2312" w:cs="宋体"/>
          <w:color w:val="FF0000"/>
          <w:sz w:val="30"/>
          <w:szCs w:val="30"/>
        </w:rPr>
        <w:t>3</w:t>
      </w:r>
      <w:r>
        <w:rPr>
          <w:rFonts w:hint="eastAsia" w:ascii="仿宋_GB2312" w:hAnsi="宋体" w:eastAsia="仿宋_GB2312" w:cs="宋体"/>
          <w:color w:val="FF0000"/>
          <w:sz w:val="30"/>
          <w:szCs w:val="30"/>
        </w:rPr>
        <w:t>年1</w:t>
      </w:r>
      <w:r>
        <w:rPr>
          <w:rFonts w:hint="eastAsia" w:ascii="仿宋_GB2312" w:hAnsi="宋体" w:eastAsia="仿宋_GB2312" w:cs="宋体"/>
          <w:color w:val="FF0000"/>
          <w:sz w:val="30"/>
          <w:szCs w:val="30"/>
          <w:lang w:val="en-US" w:eastAsia="zh-CN"/>
        </w:rPr>
        <w:t>1</w:t>
      </w:r>
      <w:r>
        <w:rPr>
          <w:rFonts w:hint="eastAsia" w:ascii="仿宋_GB2312" w:hAnsi="宋体" w:eastAsia="仿宋_GB2312" w:cs="宋体"/>
          <w:color w:val="FF0000"/>
          <w:sz w:val="30"/>
          <w:szCs w:val="30"/>
        </w:rPr>
        <w:t>月</w:t>
      </w:r>
      <w:r>
        <w:rPr>
          <w:rFonts w:hint="eastAsia" w:ascii="仿宋_GB2312" w:hAnsi="宋体" w:eastAsia="仿宋_GB2312" w:cs="宋体"/>
          <w:color w:val="FF0000"/>
          <w:sz w:val="30"/>
          <w:szCs w:val="30"/>
          <w:lang w:val="en-US" w:eastAsia="zh-CN"/>
        </w:rPr>
        <w:t>29</w:t>
      </w:r>
      <w:r>
        <w:rPr>
          <w:rFonts w:hint="eastAsia" w:ascii="仿宋_GB2312" w:hAnsi="宋体" w:eastAsia="仿宋_GB2312" w:cs="宋体"/>
          <w:color w:val="FF0000"/>
          <w:sz w:val="30"/>
          <w:szCs w:val="30"/>
        </w:rPr>
        <w:t>日17：00整</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_GB2312" w:hAnsi="宋体" w:eastAsia="仿宋_GB2312" w:cs="宋体"/>
          <w:b/>
          <w:color w:val="FF0000"/>
          <w:sz w:val="30"/>
          <w:szCs w:val="30"/>
        </w:rPr>
      </w:pPr>
      <w:r>
        <w:rPr>
          <w:rFonts w:hint="eastAsia" w:ascii="仿宋_GB2312" w:hAnsi="宋体" w:eastAsia="仿宋_GB2312" w:cs="宋体"/>
          <w:b/>
          <w:color w:val="FF0000"/>
          <w:sz w:val="30"/>
          <w:szCs w:val="30"/>
        </w:rPr>
        <w:t>注</w:t>
      </w:r>
      <w:r>
        <w:rPr>
          <w:rFonts w:ascii="仿宋_GB2312" w:hAnsi="宋体" w:eastAsia="仿宋_GB2312" w:cs="宋体"/>
          <w:b/>
          <w:color w:val="FF0000"/>
          <w:sz w:val="30"/>
          <w:szCs w:val="30"/>
        </w:rPr>
        <w:t>：</w:t>
      </w:r>
      <w:r>
        <w:rPr>
          <w:rFonts w:hint="eastAsia" w:ascii="仿宋_GB2312" w:hAnsi="宋体" w:eastAsia="仿宋_GB2312" w:cs="宋体"/>
          <w:b/>
          <w:color w:val="FF0000"/>
          <w:sz w:val="30"/>
          <w:szCs w:val="30"/>
        </w:rPr>
        <w:t>1、</w:t>
      </w:r>
      <w:r>
        <w:rPr>
          <w:rFonts w:ascii="仿宋_GB2312" w:hAnsi="宋体" w:eastAsia="仿宋_GB2312" w:cs="宋体"/>
          <w:b/>
          <w:color w:val="FF0000"/>
          <w:sz w:val="30"/>
          <w:szCs w:val="30"/>
        </w:rPr>
        <w:t>如有委托，</w:t>
      </w:r>
      <w:r>
        <w:rPr>
          <w:rFonts w:hint="eastAsia" w:ascii="仿宋_GB2312" w:hAnsi="宋体" w:eastAsia="仿宋_GB2312" w:cs="宋体"/>
          <w:b/>
          <w:color w:val="FF0000"/>
          <w:sz w:val="30"/>
          <w:szCs w:val="30"/>
        </w:rPr>
        <w:t>需要</w:t>
      </w:r>
      <w:r>
        <w:rPr>
          <w:rFonts w:ascii="仿宋_GB2312" w:hAnsi="宋体" w:eastAsia="仿宋_GB2312" w:cs="宋体"/>
          <w:b/>
          <w:color w:val="FF0000"/>
          <w:sz w:val="30"/>
          <w:szCs w:val="30"/>
        </w:rPr>
        <w:t>当面授权或</w:t>
      </w:r>
      <w:r>
        <w:rPr>
          <w:rFonts w:hint="eastAsia" w:ascii="仿宋_GB2312" w:hAnsi="宋体" w:eastAsia="仿宋_GB2312" w:cs="宋体"/>
          <w:b/>
          <w:color w:val="FF0000"/>
          <w:sz w:val="30"/>
          <w:szCs w:val="30"/>
        </w:rPr>
        <w:t>提供</w:t>
      </w:r>
      <w:r>
        <w:rPr>
          <w:rFonts w:ascii="仿宋_GB2312" w:hAnsi="宋体" w:eastAsia="仿宋_GB2312" w:cs="宋体"/>
          <w:b/>
          <w:color w:val="FF0000"/>
          <w:sz w:val="30"/>
          <w:szCs w:val="30"/>
        </w:rPr>
        <w:t>公证处</w:t>
      </w:r>
      <w:r>
        <w:rPr>
          <w:rFonts w:hint="eastAsia" w:ascii="仿宋_GB2312" w:hAnsi="宋体" w:eastAsia="仿宋_GB2312" w:cs="宋体"/>
          <w:b/>
          <w:color w:val="FF0000"/>
          <w:sz w:val="30"/>
          <w:szCs w:val="30"/>
        </w:rPr>
        <w:t>公正。</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ascii="仿宋_GB2312" w:hAnsi="宋体" w:eastAsia="仿宋_GB2312" w:cs="宋体"/>
          <w:b/>
          <w:color w:val="FF0000"/>
          <w:sz w:val="30"/>
          <w:szCs w:val="30"/>
        </w:rPr>
      </w:pPr>
      <w:r>
        <w:rPr>
          <w:rFonts w:ascii="仿宋_GB2312" w:hAnsi="宋体" w:eastAsia="仿宋_GB2312" w:cs="宋体"/>
          <w:b/>
          <w:color w:val="FF0000"/>
          <w:sz w:val="30"/>
          <w:szCs w:val="30"/>
        </w:rPr>
        <w:t>2</w:t>
      </w:r>
      <w:r>
        <w:rPr>
          <w:rFonts w:hint="eastAsia" w:ascii="仿宋_GB2312" w:hAnsi="宋体" w:eastAsia="仿宋_GB2312" w:cs="宋体"/>
          <w:b/>
          <w:color w:val="FF0000"/>
          <w:sz w:val="30"/>
          <w:szCs w:val="30"/>
        </w:rPr>
        <w:t>、该</w:t>
      </w:r>
      <w:r>
        <w:rPr>
          <w:rFonts w:ascii="仿宋_GB2312" w:hAnsi="宋体" w:eastAsia="仿宋_GB2312" w:cs="宋体"/>
          <w:b/>
          <w:color w:val="FF0000"/>
          <w:sz w:val="30"/>
          <w:szCs w:val="30"/>
        </w:rPr>
        <w:t>标的</w:t>
      </w:r>
      <w:r>
        <w:rPr>
          <w:rFonts w:hint="eastAsia" w:ascii="仿宋_GB2312" w:hAnsi="宋体" w:eastAsia="仿宋_GB2312" w:cs="宋体"/>
          <w:b/>
          <w:color w:val="FF0000"/>
          <w:sz w:val="30"/>
          <w:szCs w:val="30"/>
        </w:rPr>
        <w:t>企业</w:t>
      </w:r>
      <w:r>
        <w:rPr>
          <w:rFonts w:ascii="仿宋_GB2312" w:hAnsi="宋体" w:eastAsia="仿宋_GB2312" w:cs="宋体"/>
          <w:b/>
          <w:color w:val="FF0000"/>
          <w:sz w:val="30"/>
          <w:szCs w:val="30"/>
        </w:rPr>
        <w:t>报名需</w:t>
      </w:r>
      <w:r>
        <w:rPr>
          <w:rFonts w:hint="eastAsia" w:ascii="仿宋_GB2312" w:hAnsi="宋体" w:eastAsia="仿宋_GB2312" w:cs="宋体"/>
          <w:b/>
          <w:color w:val="FF0000"/>
          <w:sz w:val="30"/>
          <w:szCs w:val="30"/>
        </w:rPr>
        <w:t>对公</w:t>
      </w:r>
      <w:r>
        <w:rPr>
          <w:rFonts w:ascii="仿宋_GB2312" w:hAnsi="宋体" w:eastAsia="仿宋_GB2312" w:cs="宋体"/>
          <w:b/>
          <w:color w:val="FF0000"/>
          <w:sz w:val="30"/>
          <w:szCs w:val="30"/>
        </w:rPr>
        <w:t>账户进账</w:t>
      </w:r>
      <w:r>
        <w:rPr>
          <w:rFonts w:hint="eastAsia" w:ascii="仿宋_GB2312" w:hAnsi="宋体" w:eastAsia="仿宋_GB2312" w:cs="宋体"/>
          <w:b/>
          <w:color w:val="FF0000"/>
          <w:sz w:val="30"/>
          <w:szCs w:val="30"/>
        </w:rPr>
        <w:t>。</w:t>
      </w:r>
    </w:p>
    <w:p>
      <w:pPr>
        <w:ind w:firstLine="560" w:firstLineChars="200"/>
        <w:rPr>
          <w:sz w:val="28"/>
          <w:szCs w:val="28"/>
        </w:rPr>
      </w:pPr>
    </w:p>
    <w:p>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BhNzZlMjk2YjEwOTczZmQ2MTQ0YzVkMDkxZDczOTEifQ=="/>
  </w:docVars>
  <w:rsids>
    <w:rsidRoot w:val="00246F62"/>
    <w:rsid w:val="00007ADF"/>
    <w:rsid w:val="000325DD"/>
    <w:rsid w:val="00035325"/>
    <w:rsid w:val="00053A80"/>
    <w:rsid w:val="00085783"/>
    <w:rsid w:val="00087B77"/>
    <w:rsid w:val="00090C9D"/>
    <w:rsid w:val="0009206D"/>
    <w:rsid w:val="000B103B"/>
    <w:rsid w:val="000C77AB"/>
    <w:rsid w:val="000E35CA"/>
    <w:rsid w:val="000E4F38"/>
    <w:rsid w:val="00101ABF"/>
    <w:rsid w:val="00107075"/>
    <w:rsid w:val="00122FA3"/>
    <w:rsid w:val="0012735D"/>
    <w:rsid w:val="00127BCD"/>
    <w:rsid w:val="001B0A99"/>
    <w:rsid w:val="001B6874"/>
    <w:rsid w:val="002078AA"/>
    <w:rsid w:val="0021349C"/>
    <w:rsid w:val="00246F62"/>
    <w:rsid w:val="00284501"/>
    <w:rsid w:val="00297E80"/>
    <w:rsid w:val="002E6E05"/>
    <w:rsid w:val="0032521C"/>
    <w:rsid w:val="003447EA"/>
    <w:rsid w:val="00385535"/>
    <w:rsid w:val="003941C4"/>
    <w:rsid w:val="003A0594"/>
    <w:rsid w:val="003B6859"/>
    <w:rsid w:val="003B72F6"/>
    <w:rsid w:val="003B7695"/>
    <w:rsid w:val="003F181B"/>
    <w:rsid w:val="00405E59"/>
    <w:rsid w:val="00410470"/>
    <w:rsid w:val="00432B27"/>
    <w:rsid w:val="004447CB"/>
    <w:rsid w:val="00457A9C"/>
    <w:rsid w:val="00461D55"/>
    <w:rsid w:val="00475B84"/>
    <w:rsid w:val="0048585D"/>
    <w:rsid w:val="004A3C73"/>
    <w:rsid w:val="004C02C8"/>
    <w:rsid w:val="004C7800"/>
    <w:rsid w:val="00522540"/>
    <w:rsid w:val="00527612"/>
    <w:rsid w:val="00547A57"/>
    <w:rsid w:val="00557F9F"/>
    <w:rsid w:val="00561116"/>
    <w:rsid w:val="00561ED0"/>
    <w:rsid w:val="00577CD8"/>
    <w:rsid w:val="00584209"/>
    <w:rsid w:val="005A69FC"/>
    <w:rsid w:val="005B4490"/>
    <w:rsid w:val="005C4316"/>
    <w:rsid w:val="005D516C"/>
    <w:rsid w:val="005D5554"/>
    <w:rsid w:val="005E1C31"/>
    <w:rsid w:val="005F5AA3"/>
    <w:rsid w:val="005F6461"/>
    <w:rsid w:val="00600858"/>
    <w:rsid w:val="006068CF"/>
    <w:rsid w:val="0065596D"/>
    <w:rsid w:val="00657CB3"/>
    <w:rsid w:val="00666407"/>
    <w:rsid w:val="006703F6"/>
    <w:rsid w:val="006B7F6B"/>
    <w:rsid w:val="006C36EF"/>
    <w:rsid w:val="006C6CE6"/>
    <w:rsid w:val="006F1057"/>
    <w:rsid w:val="006F2723"/>
    <w:rsid w:val="00700169"/>
    <w:rsid w:val="007146C3"/>
    <w:rsid w:val="00731F20"/>
    <w:rsid w:val="00741D53"/>
    <w:rsid w:val="00753679"/>
    <w:rsid w:val="007948F4"/>
    <w:rsid w:val="00794908"/>
    <w:rsid w:val="007A0044"/>
    <w:rsid w:val="007B00FE"/>
    <w:rsid w:val="007F1A6F"/>
    <w:rsid w:val="007F7D08"/>
    <w:rsid w:val="00803144"/>
    <w:rsid w:val="00816E7A"/>
    <w:rsid w:val="00820697"/>
    <w:rsid w:val="00820A12"/>
    <w:rsid w:val="0083205C"/>
    <w:rsid w:val="0084466B"/>
    <w:rsid w:val="00846B32"/>
    <w:rsid w:val="008608BD"/>
    <w:rsid w:val="00867F22"/>
    <w:rsid w:val="00875E43"/>
    <w:rsid w:val="008C3C91"/>
    <w:rsid w:val="008C7C8A"/>
    <w:rsid w:val="008E77EF"/>
    <w:rsid w:val="008F4EE7"/>
    <w:rsid w:val="0091090B"/>
    <w:rsid w:val="00925FCB"/>
    <w:rsid w:val="0094137D"/>
    <w:rsid w:val="009850BE"/>
    <w:rsid w:val="00992B69"/>
    <w:rsid w:val="009A6122"/>
    <w:rsid w:val="009D5F95"/>
    <w:rsid w:val="009E5ED4"/>
    <w:rsid w:val="009F19B9"/>
    <w:rsid w:val="00A02039"/>
    <w:rsid w:val="00A42699"/>
    <w:rsid w:val="00A624B6"/>
    <w:rsid w:val="00A653F2"/>
    <w:rsid w:val="00AA50F6"/>
    <w:rsid w:val="00AB5132"/>
    <w:rsid w:val="00AE509D"/>
    <w:rsid w:val="00AF6A5C"/>
    <w:rsid w:val="00B11079"/>
    <w:rsid w:val="00B5292B"/>
    <w:rsid w:val="00B96CFB"/>
    <w:rsid w:val="00BB5A53"/>
    <w:rsid w:val="00BC5206"/>
    <w:rsid w:val="00BC57B2"/>
    <w:rsid w:val="00BC6A52"/>
    <w:rsid w:val="00BD54A3"/>
    <w:rsid w:val="00BF0811"/>
    <w:rsid w:val="00C12229"/>
    <w:rsid w:val="00C34408"/>
    <w:rsid w:val="00C41190"/>
    <w:rsid w:val="00C56BFF"/>
    <w:rsid w:val="00CA2AF3"/>
    <w:rsid w:val="00CA6121"/>
    <w:rsid w:val="00CB43AA"/>
    <w:rsid w:val="00CC62FB"/>
    <w:rsid w:val="00CF71D8"/>
    <w:rsid w:val="00CF7400"/>
    <w:rsid w:val="00D108CB"/>
    <w:rsid w:val="00D316F7"/>
    <w:rsid w:val="00D31AF2"/>
    <w:rsid w:val="00D54129"/>
    <w:rsid w:val="00D572A7"/>
    <w:rsid w:val="00D7275C"/>
    <w:rsid w:val="00D764AD"/>
    <w:rsid w:val="00D84278"/>
    <w:rsid w:val="00D9288F"/>
    <w:rsid w:val="00DA2C3A"/>
    <w:rsid w:val="00DF6F0A"/>
    <w:rsid w:val="00E17ECC"/>
    <w:rsid w:val="00E33090"/>
    <w:rsid w:val="00E47FCE"/>
    <w:rsid w:val="00E82107"/>
    <w:rsid w:val="00E82EAE"/>
    <w:rsid w:val="00E8414F"/>
    <w:rsid w:val="00E843AF"/>
    <w:rsid w:val="00E951B5"/>
    <w:rsid w:val="00EA0790"/>
    <w:rsid w:val="00EA522A"/>
    <w:rsid w:val="00EA5CEA"/>
    <w:rsid w:val="00EB5049"/>
    <w:rsid w:val="00EF0231"/>
    <w:rsid w:val="00EF0A32"/>
    <w:rsid w:val="00EF4966"/>
    <w:rsid w:val="00F12416"/>
    <w:rsid w:val="00F315ED"/>
    <w:rsid w:val="00F3424D"/>
    <w:rsid w:val="00F45E19"/>
    <w:rsid w:val="00F555F2"/>
    <w:rsid w:val="00F8226B"/>
    <w:rsid w:val="00F845BB"/>
    <w:rsid w:val="00FD08FB"/>
    <w:rsid w:val="00FF0818"/>
    <w:rsid w:val="00FF1D79"/>
    <w:rsid w:val="19EF571C"/>
    <w:rsid w:val="2E2D3430"/>
    <w:rsid w:val="2E5319E4"/>
    <w:rsid w:val="4F6F5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qFormat="1" w:unhideWhenUsed="0"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5"/>
    <w:basedOn w:val="1"/>
    <w:next w:val="1"/>
    <w:semiHidden/>
    <w:qFormat/>
    <w:uiPriority w:val="0"/>
    <w:pPr>
      <w:ind w:left="1680" w:leftChars="800"/>
    </w:pPr>
  </w:style>
  <w:style w:type="paragraph" w:styleId="3">
    <w:name w:val="Balloon Text"/>
    <w:basedOn w:val="1"/>
    <w:semiHidden/>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kern w:val="0"/>
      <w:sz w:val="24"/>
      <w:szCs w:val="21"/>
    </w:rPr>
  </w:style>
  <w:style w:type="paragraph" w:customStyle="1" w:styleId="9">
    <w:name w:val="Char"/>
    <w:basedOn w:val="1"/>
    <w:qFormat/>
    <w:uiPriority w:val="0"/>
  </w:style>
  <w:style w:type="character" w:customStyle="1" w:styleId="10">
    <w:name w:val="页眉 Char"/>
    <w:link w:val="5"/>
    <w:uiPriority w:val="0"/>
    <w:rPr>
      <w:kern w:val="2"/>
      <w:sz w:val="18"/>
      <w:szCs w:val="18"/>
    </w:rPr>
  </w:style>
  <w:style w:type="character" w:customStyle="1" w:styleId="11">
    <w:name w:val="页脚 Char"/>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387</Words>
  <Characters>472</Characters>
  <Lines>3</Lines>
  <Paragraphs>1</Paragraphs>
  <TotalTime>3</TotalTime>
  <ScaleCrop>false</ScaleCrop>
  <LinksUpToDate>false</LinksUpToDate>
  <CharactersWithSpaces>496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2022-10-12T01:43:00Z</dcterms:created>
  <dc:creator>admin</dc:creator>
  <cp:lastModifiedBy>Administrator</cp:lastModifiedBy>
  <cp:lastPrinted>2023-03-31T06:54:00Z</cp:lastPrinted>
  <dcterms:modified xsi:type="dcterms:W3CDTF">2023-11-15T09:00:49Z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21B22FBBD6B846B09A6203F90D5B3259_13</vt:lpwstr>
  </property>
</Properties>
</file>